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r>
        <w:rPr>
          <w:rFonts w:hint="eastAsia" w:eastAsia="宋体" w:cs="宋体"/>
          <w:b/>
          <w:bCs/>
          <w:color w:val="000000"/>
          <w:sz w:val="28"/>
          <w:szCs w:val="28"/>
          <w:lang w:eastAsia="zh-CN"/>
        </w:rPr>
        <w:t>一包：安徽新华学院监控系统</w:t>
      </w:r>
    </w:p>
    <w:tbl>
      <w:tblPr>
        <w:tblStyle w:val="14"/>
        <w:tblW w:w="9960" w:type="dxa"/>
        <w:jc w:val="center"/>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
        <w:gridCol w:w="1466"/>
        <w:gridCol w:w="1662"/>
        <w:gridCol w:w="2516"/>
        <w:gridCol w:w="654"/>
        <w:gridCol w:w="675"/>
        <w:gridCol w:w="1305"/>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96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安徽新华学院外围监控系统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招标参数、型号</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投标型号、参数</w:t>
            </w: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全彩枪击12MM</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200万像素室外全彩</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全彩枪击4MM</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2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5口交换机</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iDS-2DE7432MWR-A(S1)(B)</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参照型号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Center-Education (DS)-VMS</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原系统平台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4口终端盒</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8口终端盒</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24口终端盒</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一光一电接收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GMA-ND-WS01/02-20</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GMA-ND-G5204F</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光纤收发器机架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GMA-ND-2U14C</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室外电源</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立杆（含地笼）</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横臂50公分</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楼顶球机支架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室外不锈钢防水箱</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300*400*180mm</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20PVC管</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32PE管</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6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破路、埋管、修复</w:t>
            </w:r>
          </w:p>
        </w:tc>
        <w:tc>
          <w:tcPr>
            <w:tcW w:w="16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水泥路面</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约40</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泥土路面</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水泥黄沙、插排、插头、软管、空开、胶布、扎带、波纹管、膨胀螺丝、水晶头、网络跳线、光纤跳线</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973"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5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注：</w:t>
            </w:r>
            <w:r>
              <w:rPr>
                <w:rFonts w:hint="eastAsia" w:ascii="宋体" w:hAnsi="宋体" w:eastAsia="宋体" w:cs="宋体"/>
                <w:i w:val="0"/>
                <w:iCs w:val="0"/>
                <w:color w:val="000000"/>
                <w:kern w:val="0"/>
                <w:sz w:val="24"/>
                <w:szCs w:val="24"/>
                <w:u w:val="none"/>
                <w:lang w:val="en-US" w:eastAsia="zh-CN" w:bidi="ar"/>
              </w:rPr>
              <w:t>报价单位需要依据报价产品，完善</w:t>
            </w:r>
            <w:r>
              <w:rPr>
                <w:rFonts w:hint="eastAsia" w:ascii="宋体" w:hAnsi="宋体" w:eastAsia="宋体" w:cs="宋体"/>
                <w:i w:val="0"/>
                <w:iCs w:val="0"/>
                <w:color w:val="000000"/>
                <w:kern w:val="0"/>
                <w:sz w:val="22"/>
                <w:szCs w:val="22"/>
                <w:u w:val="none"/>
                <w:lang w:val="en-US" w:eastAsia="zh-CN" w:bidi="ar"/>
              </w:rPr>
              <w:t>投标产品的型号、参数</w:t>
            </w:r>
            <w:r>
              <w:rPr>
                <w:rFonts w:hint="eastAsia" w:ascii="宋体" w:hAnsi="宋体" w:eastAsia="宋体" w:cs="宋体"/>
                <w:i w:val="0"/>
                <w:iCs w:val="0"/>
                <w:color w:val="000000"/>
                <w:kern w:val="0"/>
                <w:sz w:val="24"/>
                <w:szCs w:val="24"/>
                <w:u w:val="none"/>
                <w:lang w:val="en-US" w:eastAsia="zh-CN" w:bidi="ar"/>
              </w:rPr>
              <w:t>。</w:t>
            </w: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r>
        <w:rPr>
          <w:rFonts w:hint="eastAsia" w:eastAsia="宋体" w:cs="宋体"/>
          <w:b/>
          <w:bCs/>
          <w:color w:val="000000"/>
          <w:sz w:val="28"/>
          <w:szCs w:val="28"/>
          <w:lang w:eastAsia="zh-CN"/>
        </w:rPr>
        <w:t>二包：安徽医科大学临床医学院监控系统</w:t>
      </w:r>
    </w:p>
    <w:tbl>
      <w:tblPr>
        <w:tblStyle w:val="14"/>
        <w:tblW w:w="10063" w:type="dxa"/>
        <w:jc w:val="center"/>
        <w:tblInd w:w="-5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147"/>
        <w:gridCol w:w="1572"/>
        <w:gridCol w:w="2986"/>
        <w:gridCol w:w="765"/>
        <w:gridCol w:w="660"/>
        <w:gridCol w:w="1215"/>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006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安徽医科大学临床医学院4号公寓楼监控系统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招标参数、型号</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投标型号、参数</w:t>
            </w:r>
          </w:p>
        </w:tc>
        <w:tc>
          <w:tcPr>
            <w:tcW w:w="12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红外半球摄像机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红外枪式摄像机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电梯半球</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DS-2CD2525EFV2-I</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参照型号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网桥</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DS-3WFOEC-5ACT/R</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参照型号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人脸抓拍摄像机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DS-2CD7A427FWD-XZS/JM(8-32/4)</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参照型号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人脸抓拍摄像机支架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DS-1292ZJ-P</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枪机壁挂支架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DS-1292ZJ</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半球支架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Center-Education (DS)-VMS</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原系统平台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φ25mm</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插排、插头、软管、空开、胶布、扎带、波纹管、膨胀螺丝、水晶头、直接、86盒</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13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81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t>报价单位需要依据报价产品，完善</w:t>
            </w:r>
            <w:r>
              <w:rPr>
                <w:rFonts w:hint="eastAsia" w:ascii="宋体" w:hAnsi="宋体" w:eastAsia="宋体" w:cs="宋体"/>
                <w:i w:val="0"/>
                <w:iCs w:val="0"/>
                <w:color w:val="000000"/>
                <w:kern w:val="0"/>
                <w:sz w:val="22"/>
                <w:szCs w:val="22"/>
                <w:u w:val="none"/>
                <w:lang w:val="en-US" w:eastAsia="zh-CN" w:bidi="ar"/>
              </w:rPr>
              <w:t>投标产品的型号、参数</w:t>
            </w:r>
            <w:r>
              <w:rPr>
                <w:rFonts w:hint="eastAsia" w:ascii="宋体" w:hAnsi="宋体" w:eastAsia="宋体" w:cs="宋体"/>
                <w:i w:val="0"/>
                <w:iCs w:val="0"/>
                <w:color w:val="000000"/>
                <w:kern w:val="0"/>
                <w:sz w:val="24"/>
                <w:szCs w:val="24"/>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bl>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总  报  价</w:t>
      </w: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4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506"/>
        <w:gridCol w:w="1156"/>
        <w:gridCol w:w="273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328"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2506"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156"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2733"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w:t>
            </w: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2223"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328"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506"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一包</w:t>
            </w:r>
          </w:p>
        </w:tc>
        <w:tc>
          <w:tcPr>
            <w:tcW w:w="1156" w:type="dxa"/>
            <w:shd w:val="clear" w:color="auto" w:fill="FFFFFF"/>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w:t>
            </w:r>
          </w:p>
        </w:tc>
        <w:tc>
          <w:tcPr>
            <w:tcW w:w="2733"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3"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328"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2506" w:type="dxa"/>
            <w:shd w:val="clear" w:color="auto" w:fill="FFFFFF"/>
            <w:vAlign w:val="center"/>
          </w:tcPr>
          <w:p>
            <w:pPr>
              <w:widowControl/>
              <w:jc w:val="center"/>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二包</w:t>
            </w:r>
          </w:p>
        </w:tc>
        <w:tc>
          <w:tcPr>
            <w:tcW w:w="1156"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1项</w:t>
            </w:r>
          </w:p>
        </w:tc>
        <w:tc>
          <w:tcPr>
            <w:tcW w:w="2733"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3"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pStyle w:val="7"/>
        <w:rPr>
          <w:rFonts w:hint="eastAsia" w:ascii="宋体" w:hAnsi="宋体"/>
          <w:b/>
          <w:color w:val="auto"/>
          <w:sz w:val="32"/>
          <w:szCs w:val="32"/>
          <w:highlight w:val="none"/>
        </w:rPr>
      </w:pPr>
    </w:p>
    <w:p>
      <w:pPr>
        <w:numPr>
          <w:ilvl w:val="0"/>
          <w:numId w:val="3"/>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pPr>
        <w:pStyle w:val="17"/>
        <w:numPr>
          <w:ilvl w:val="0"/>
          <w:numId w:val="0"/>
        </w:numPr>
        <w:ind w:left="840" w:leftChars="0" w:right="210" w:rightChars="100"/>
        <w:rPr>
          <w:rFonts w:hint="eastAsia"/>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r>
        <w:rPr>
          <w:rFonts w:hint="eastAsia" w:eastAsia="宋体" w:cs="宋体"/>
          <w:b/>
          <w:bCs/>
          <w:color w:val="000000"/>
          <w:sz w:val="28"/>
          <w:szCs w:val="28"/>
          <w:lang w:eastAsia="zh-CN"/>
        </w:rPr>
        <w:t>一包：安徽新华学院监控系统</w:t>
      </w:r>
    </w:p>
    <w:tbl>
      <w:tblPr>
        <w:tblStyle w:val="14"/>
        <w:tblW w:w="108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
        <w:gridCol w:w="1466"/>
        <w:gridCol w:w="1662"/>
        <w:gridCol w:w="2516"/>
        <w:gridCol w:w="460"/>
        <w:gridCol w:w="676"/>
        <w:gridCol w:w="1316"/>
        <w:gridCol w:w="1217"/>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0830"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安徽新华学院外围监控系统清单及报价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全彩枪击12MM</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200万像素室外全彩</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全彩枪击4MM</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2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5口交换机</w:t>
            </w:r>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iDS-2DE7432MWR-A(S1)(B)</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Center-Education (DS)-VMS</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4芯光纤</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4口终端盒</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8口终端盒</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24口终端盒</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一光一电接收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GMA-ND-WS01/02-20</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GMA-ND-G5204F</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光纤收发器机架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光训光电</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GMA-ND-2U14C</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室外电源</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立杆（含地笼）</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横臂50公分</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楼顶球机支架</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室外不锈钢防水箱</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300*400*180mm</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20PVC管</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32PE管</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6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破路、埋管、修复</w:t>
            </w:r>
          </w:p>
        </w:tc>
        <w:tc>
          <w:tcPr>
            <w:tcW w:w="16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水泥路面</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约40</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泥土路面</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水泥黄沙、插排、插头、软管、空开、胶布、扎带、波纹管、膨胀螺丝、水晶头、网络跳线、光纤跳线</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78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37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lang w:val="en-US" w:eastAsia="zh-CN"/>
              </w:rPr>
            </w:pPr>
            <w:r>
              <w:rPr>
                <w:b/>
                <w:bCs/>
                <w:lang w:val="en-US" w:eastAsia="zh-CN"/>
              </w:rPr>
              <w:t>注：</w:t>
            </w:r>
            <w:r>
              <w:rPr>
                <w:rFonts w:hint="eastAsia"/>
                <w:lang w:val="en-US" w:eastAsia="zh-CN"/>
              </w:rPr>
              <w:t>1、</w:t>
            </w:r>
            <w:r>
              <w:rPr>
                <w:lang w:val="en-US" w:eastAsia="zh-CN"/>
              </w:rPr>
              <w:t>管线材、开挖（包括网线、光纤、线管及开挖等）等辅材项目依据图纸自行测算，采用交钥匙工程（总价包干），不予增减。</w:t>
            </w:r>
          </w:p>
          <w:p>
            <w:pPr>
              <w:pStyle w:val="2"/>
              <w:ind w:left="0" w:leftChars="0" w:firstLine="480" w:firstLineChars="200"/>
              <w:rPr>
                <w:rFonts w:hint="eastAsia"/>
              </w:rPr>
            </w:pPr>
            <w:r>
              <w:rPr>
                <w:rFonts w:hint="eastAsia" w:ascii="宋体" w:hAnsi="宋体" w:eastAsia="宋体" w:cs="宋体"/>
                <w:i w:val="0"/>
                <w:iCs w:val="0"/>
                <w:color w:val="000000"/>
                <w:kern w:val="0"/>
                <w:sz w:val="24"/>
                <w:szCs w:val="24"/>
                <w:u w:val="none"/>
                <w:lang w:val="en-US" w:eastAsia="zh-CN" w:bidi="ar"/>
              </w:rPr>
              <w:t>2、利旧摄像头由校方提供，施工单位负责安装调试。。</w:t>
            </w: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r>
        <w:rPr>
          <w:rFonts w:hint="eastAsia" w:eastAsia="宋体" w:cs="宋体"/>
          <w:b/>
          <w:bCs/>
          <w:color w:val="000000"/>
          <w:sz w:val="28"/>
          <w:szCs w:val="28"/>
          <w:lang w:eastAsia="zh-CN"/>
        </w:rPr>
        <w:t>二包：安徽医科大学临床医学院监控系统</w:t>
      </w:r>
    </w:p>
    <w:tbl>
      <w:tblPr>
        <w:tblStyle w:val="14"/>
        <w:tblW w:w="109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147"/>
        <w:gridCol w:w="1572"/>
        <w:gridCol w:w="2986"/>
        <w:gridCol w:w="480"/>
        <w:gridCol w:w="731"/>
        <w:gridCol w:w="1234"/>
        <w:gridCol w:w="1230"/>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097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安徽医科大学临床医学院4号公寓楼监控系统清单及报价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红外半球摄像机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红外枪式摄像机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电梯半球</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DS-2CD2525EFV2-I</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网桥</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DS-3WFOEC-5ACT/R</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人脸抓拍摄像机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DS-2CD7A427FWD-XZS/JM(8-32/4)</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人脸抓拍摄像机支架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DS-1292ZJ-P</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枪机壁挂支架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DS-1292ZJ</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半球支架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Center-Education (DS)-VMS</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人脸抓拍摄像机是两路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知名品牌</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φ25mm</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插排、插头、软管、空开、胶布、扎带、波纹管、膨胀螺丝、水晶头、直接、86盒</w:t>
            </w:r>
          </w:p>
        </w:tc>
        <w:tc>
          <w:tcPr>
            <w:tcW w:w="2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1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0974"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t>1、利旧摄像头由校方提供，施工单位负责安装调试。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974"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2、线管、辅材为交钥匙工程（总价包干），不予增减。</w:t>
            </w:r>
          </w:p>
        </w:tc>
      </w:tr>
    </w:tbl>
    <w:p>
      <w:pPr>
        <w:jc w:val="both"/>
        <w:rPr>
          <w:rFonts w:hint="eastAsia" w:ascii="宋体" w:hAnsi="宋体" w:cs="Arial"/>
          <w:b/>
          <w:color w:val="auto"/>
          <w:sz w:val="24"/>
          <w:szCs w:val="24"/>
          <w:highlight w:val="none"/>
        </w:rPr>
      </w:pPr>
    </w:p>
    <w:p>
      <w:pPr>
        <w:pStyle w:val="9"/>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w:t>
      </w:r>
    </w:p>
    <w:p>
      <w:pPr>
        <w:pStyle w:val="9"/>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投标单位公章</w:t>
      </w:r>
    </w:p>
    <w:p>
      <w:pPr>
        <w:pStyle w:val="9"/>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日期：   年   月   日</w:t>
      </w:r>
    </w:p>
    <w:p>
      <w:pPr>
        <w:adjustRightInd w:val="0"/>
        <w:snapToGrid w:val="0"/>
        <w:spacing w:before="62" w:beforeLines="20" w:after="62" w:afterLines="20" w:line="540" w:lineRule="exact"/>
        <w:rPr>
          <w:rFonts w:hint="eastAsia" w:ascii="宋体" w:hAnsi="宋体"/>
          <w:b/>
          <w:bCs/>
          <w:color w:val="000000"/>
          <w:sz w:val="30"/>
          <w:lang w:eastAsia="zh-CN"/>
        </w:rPr>
      </w:pPr>
    </w:p>
    <w:p>
      <w:pPr>
        <w:pStyle w:val="2"/>
        <w:rPr>
          <w:rFonts w:hint="eastAsia"/>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pStyle w:val="2"/>
        <w:rPr>
          <w:rFonts w:hint="eastAsia"/>
          <w:lang w:eastAsia="zh-CN"/>
        </w:rPr>
      </w:pP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581557"/>
      <w:bookmarkStart w:id="1" w:name="_Toc171742000"/>
      <w:bookmarkStart w:id="2" w:name="_Toc171581377"/>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4"/>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九</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bookmarkStart w:id="3" w:name="_GoBack"/>
      <w:bookmarkEnd w:id="3"/>
    </w:p>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E3A7E"/>
    <w:multiLevelType w:val="singleLevel"/>
    <w:tmpl w:val="B78E3A7E"/>
    <w:lvl w:ilvl="0" w:tentative="0">
      <w:start w:val="2"/>
      <w:numFmt w:val="decimal"/>
      <w:suff w:val="nothing"/>
      <w:lvlText w:val="%1、"/>
      <w:lvlJc w:val="left"/>
    </w:lvl>
  </w:abstractNum>
  <w:abstractNum w:abstractNumId="1">
    <w:nsid w:val="FC9ADA0F"/>
    <w:multiLevelType w:val="singleLevel"/>
    <w:tmpl w:val="FC9ADA0F"/>
    <w:lvl w:ilvl="0" w:tentative="0">
      <w:start w:val="1"/>
      <w:numFmt w:val="decimal"/>
      <w:suff w:val="nothing"/>
      <w:lvlText w:val="%1、"/>
      <w:lvlJc w:val="left"/>
    </w:lvl>
  </w:abstractNum>
  <w:abstractNum w:abstractNumId="2">
    <w:nsid w:val="1F744A08"/>
    <w:multiLevelType w:val="multilevel"/>
    <w:tmpl w:val="1F744A08"/>
    <w:lvl w:ilvl="0" w:tentative="0">
      <w:start w:val="1"/>
      <w:numFmt w:val="bullet"/>
      <w:pStyle w:val="17"/>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73490"/>
    <w:rsid w:val="498734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16">
    <w:name w:val="font51"/>
    <w:basedOn w:val="12"/>
    <w:qFormat/>
    <w:uiPriority w:val="0"/>
    <w:rPr>
      <w:rFonts w:hint="eastAsia" w:ascii="宋体" w:hAnsi="宋体" w:eastAsia="宋体" w:cs="宋体"/>
      <w:b/>
      <w:bCs/>
      <w:color w:val="000000"/>
      <w:sz w:val="22"/>
      <w:szCs w:val="22"/>
      <w:u w:val="none"/>
    </w:rPr>
  </w:style>
  <w:style w:type="paragraph" w:customStyle="1" w:styleId="17">
    <w:name w:val="报告正文"/>
    <w:basedOn w:val="6"/>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2022-04-28T00:44:00Z</dcterms:created>
  <dc:creator>lenovo</dc:creator>
  <cp:lastModifiedBy>lenovo</cp:lastModifiedBy>
  <dcterms:modified xsi:type="dcterms:W3CDTF">2022-04-28T00:45:03Z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