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beforeLines="50" w:after="157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 xml:space="preserve">1 </w:t>
      </w:r>
    </w:p>
    <w:p>
      <w:pPr>
        <w:spacing w:before="157" w:beforeLines="50" w:after="157" w:afterLines="50" w:line="240" w:lineRule="auto"/>
        <w:jc w:val="center"/>
        <w:rPr>
          <w:rFonts w:hint="eastAsia" w:ascii="宋体" w:hAnsi="宋体" w:eastAsia="宋体" w:cs="宋体"/>
          <w:color w:va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技术参数表</w:t>
      </w:r>
    </w:p>
    <w:tbl>
      <w:tblPr>
        <w:tblStyle w:val="11"/>
        <w:tblW w:w="9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7"/>
        <w:gridCol w:w="1730"/>
        <w:gridCol w:w="4050"/>
        <w:gridCol w:w="704"/>
        <w:gridCol w:w="669"/>
        <w:gridCol w:w="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品名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参照规格品牌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现场自行勘察，根据已有条件提供服务。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5000流明；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分辨率：1920*1080；流明：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≥45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高清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投影机小会议室用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投影机大会议室用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标清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现场自行勘察，根据已有条件提供服务。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品牌;一线品牌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超短焦宽屏投影机；分辨率：1280*800；流明: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超短焦宽屏投影机；分辨率：1280*800；流明：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品牌：一线品牌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荧屏部分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4:3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与投影搭配使用，一线品牌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均含遥控器，如有需要单独订货亦按此价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16:10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支架移动幕布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84寸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投影吊架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/支架</w:t>
            </w: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长焦吊架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超短焦吊架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8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光纤线</w:t>
            </w: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光纤HDMI线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15米、30米</w:t>
            </w: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辅材部分</w:t>
            </w: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长焦投影</w:t>
            </w:r>
          </w:p>
        </w:tc>
        <w:tc>
          <w:tcPr>
            <w:tcW w:w="4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包含设备安装、调试、运行</w:t>
            </w: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</w:t>
            </w:r>
          </w:p>
        </w:tc>
        <w:tc>
          <w:tcPr>
            <w:tcW w:w="4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shd w:val="clear" w:color="auto" w:fill="auto"/>
        <w:spacing w:line="240" w:lineRule="auto"/>
        <w:ind w:right="275" w:rightChars="131"/>
        <w:jc w:val="both"/>
        <w:rPr>
          <w:rFonts w:hint="default" w:ascii="宋体" w:hAnsi="宋体" w:eastAsia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附件2</w:t>
      </w:r>
    </w:p>
    <w:p>
      <w:pPr>
        <w:numPr>
          <w:ilvl w:val="0"/>
          <w:numId w:val="0"/>
        </w:numPr>
        <w:shd w:val="clear" w:color="auto" w:fill="auto"/>
        <w:spacing w:line="240" w:lineRule="auto"/>
        <w:ind w:right="275" w:rightChars="131" w:firstLine="300" w:firstLineChars="100"/>
        <w:jc w:val="center"/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投标报价</w:t>
      </w: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eastAsia="zh-CN"/>
        </w:rPr>
        <w:t>表</w:t>
      </w:r>
    </w:p>
    <w:p>
      <w:pPr>
        <w:pStyle w:val="2"/>
        <w:numPr>
          <w:ilvl w:val="0"/>
          <w:numId w:val="0"/>
        </w:numPr>
        <w:spacing w:line="240" w:lineRule="auto"/>
        <w:ind w:leftChars="400"/>
        <w:rPr>
          <w:rFonts w:hint="eastAsia"/>
          <w:lang w:eastAsia="zh-CN"/>
        </w:rPr>
      </w:pPr>
    </w:p>
    <w:tbl>
      <w:tblPr>
        <w:tblStyle w:val="11"/>
        <w:tblW w:w="8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31"/>
        <w:gridCol w:w="1986"/>
        <w:gridCol w:w="918"/>
        <w:gridCol w:w="1066"/>
        <w:gridCol w:w="1277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型号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单价（元）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 xml:space="preserve">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6000流明；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5000流明；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激光投影机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分辨率：1920*1080；流明：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≥45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高清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投影机（小会议室用）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投影机（大会议室用）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分辨率：1920*1200；流明：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教室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标清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分辨率：1024*768；流明：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5500流明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分辨率：1280*800；流明: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3500流明；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分辨率：1280*800；流明：</w:t>
            </w:r>
            <w:r>
              <w:rPr>
                <w:rStyle w:val="1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≥</w:t>
            </w:r>
            <w:r>
              <w:rPr>
                <w:rStyle w:val="14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4000流明；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4:3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与投影搭配使用，均含遥控器，如有需要单独订货亦按此价。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电动遥控幕布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16:10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支架移动幕布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84寸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100寸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120寸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150寸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23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投影吊架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/支架</w:t>
            </w: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长焦吊架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超短焦吊架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2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光纤线</w:t>
            </w: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光纤HDMI线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按照光纤线长度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231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eastAsia="zh-CN"/>
              </w:rPr>
              <w:t>辅材部分</w:t>
            </w:r>
          </w:p>
        </w:tc>
        <w:tc>
          <w:tcPr>
            <w:tcW w:w="1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长焦投影</w:t>
            </w:r>
          </w:p>
        </w:tc>
        <w:tc>
          <w:tcPr>
            <w:tcW w:w="9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986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6"/>
                <w:szCs w:val="16"/>
                <w:u w:val="none"/>
                <w:lang w:val="en-US" w:eastAsia="zh-CN" w:bidi="ar"/>
              </w:rPr>
              <w:t>超短焦投影</w:t>
            </w: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</w:p>
        </w:tc>
      </w:tr>
    </w:tbl>
    <w:p>
      <w:pPr>
        <w:pStyle w:val="8"/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（1）本报价依据本项目投标须知和合同文件的有关条款进行编制。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产品报价包含产品价格、运输、保险、税费、装卸、施工、相关部门的检测、验收费用、成品保护、管理费、售后服务等全部费用，除非另有约定，招标人为履行本项目产品采购无需支付其他任何款项、费用。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（3）本分项报价表中的每一包项均应填写报价，对没有填写单价的项目费用，视为已包括在其他单价或合价之中。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（4）本报价的币种为：人民币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（5）投标单位应将投标报价需要说明的事项，用文字书写与投标报价表一并报送。</w:t>
      </w:r>
    </w:p>
    <w:p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tabs>
          <w:tab w:val="left" w:pos="8008"/>
        </w:tabs>
        <w:spacing w:line="240" w:lineRule="auto"/>
        <w:jc w:val="center"/>
        <w:outlineLvl w:val="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tabs>
          <w:tab w:val="left" w:pos="8008"/>
        </w:tabs>
        <w:spacing w:line="240" w:lineRule="auto"/>
        <w:jc w:val="center"/>
        <w:outlineLvl w:val="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tabs>
          <w:tab w:val="left" w:pos="8008"/>
        </w:tabs>
        <w:spacing w:line="240" w:lineRule="auto"/>
        <w:jc w:val="center"/>
        <w:outlineLvl w:val="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pStyle w:val="8"/>
        <w:spacing w:line="240" w:lineRule="auto"/>
        <w:ind w:left="-2" w:leftChars="-1" w:firstLine="2400" w:firstLineChars="800"/>
        <w:rPr>
          <w:rFonts w:hint="eastAsia" w:hAnsi="宋体"/>
          <w:b/>
          <w:smallCaps/>
          <w:color w:val="000000"/>
          <w:sz w:val="30"/>
          <w:szCs w:val="30"/>
        </w:rPr>
      </w:pPr>
      <w:bookmarkStart w:id="0" w:name="_Toc171581377"/>
      <w:bookmarkStart w:id="1" w:name="_Toc171581557"/>
      <w:bookmarkStart w:id="2" w:name="_Toc171742000"/>
    </w:p>
    <w:p>
      <w:pPr>
        <w:pStyle w:val="8"/>
        <w:spacing w:line="240" w:lineRule="auto"/>
        <w:ind w:left="-2" w:leftChars="-1" w:firstLine="2400" w:firstLineChars="800"/>
        <w:rPr>
          <w:rFonts w:hint="eastAsia" w:hAnsi="宋体"/>
          <w:b/>
          <w:smallCaps/>
          <w:color w:val="000000"/>
          <w:sz w:val="30"/>
          <w:szCs w:val="30"/>
        </w:rPr>
      </w:pPr>
    </w:p>
    <w:p>
      <w:pPr>
        <w:pStyle w:val="8"/>
        <w:spacing w:line="240" w:lineRule="auto"/>
        <w:ind w:left="-2" w:leftChars="-1" w:firstLine="2400" w:firstLineChars="800"/>
        <w:rPr>
          <w:rFonts w:hint="eastAsia" w:hAnsi="宋体"/>
          <w:b/>
          <w:smallCaps/>
          <w:color w:val="000000"/>
          <w:sz w:val="30"/>
          <w:szCs w:val="30"/>
        </w:rPr>
      </w:pPr>
    </w:p>
    <w:p>
      <w:pPr>
        <w:pStyle w:val="8"/>
        <w:spacing w:line="240" w:lineRule="auto"/>
        <w:jc w:val="both"/>
        <w:rPr>
          <w:rFonts w:hint="eastAsia" w:hAnsi="宋体"/>
          <w:b/>
          <w:smallCaps/>
          <w:color w:val="000000"/>
          <w:sz w:val="30"/>
          <w:szCs w:val="30"/>
        </w:rPr>
      </w:pPr>
    </w:p>
    <w:bookmarkEnd w:id="0"/>
    <w:bookmarkEnd w:id="1"/>
    <w:bookmarkEnd w:id="2"/>
    <w:p>
      <w:pPr>
        <w:spacing w:line="240" w:lineRule="auto"/>
        <w:rPr>
          <w:rFonts w:hint="eastAsia" w:ascii="宋体" w:hAnsi="宋体"/>
          <w:color w:val="000000"/>
          <w:sz w:val="24"/>
        </w:rPr>
      </w:pPr>
    </w:p>
    <w:p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     </w:t>
      </w:r>
    </w:p>
    <w:p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240" w:lineRule="auto"/>
      </w:pPr>
    </w:p>
    <w:p>
      <w:pPr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240" w:lineRule="auto"/>
        <w:ind w:right="240"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二、保证期间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" w:hAnsi="仿宋" w:eastAsia="仿宋" w:cs="仿宋"/>
          <w:sz w:val="28"/>
          <w:szCs w:val="28"/>
        </w:rPr>
        <w:t>保证期间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保证方式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保证人承担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8"/>
          <w:szCs w:val="28"/>
        </w:rPr>
        <w:t>连带责任保证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8"/>
          <w:szCs w:val="28"/>
        </w:rPr>
        <w:t>不因主合同无效、撤销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等等</w:t>
      </w:r>
      <w:r>
        <w:rPr>
          <w:rFonts w:hint="eastAsia" w:ascii="仿宋" w:hAnsi="仿宋" w:eastAsia="仿宋" w:cs="仿宋"/>
          <w:sz w:val="28"/>
          <w:szCs w:val="28"/>
        </w:rPr>
        <w:t>而影响本承诺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书的</w:t>
      </w:r>
      <w:r>
        <w:rPr>
          <w:rFonts w:hint="eastAsia" w:ascii="仿宋" w:hAnsi="仿宋" w:eastAsia="仿宋" w:cs="仿宋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left="36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pStyle w:val="2"/>
        <w:spacing w:line="24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213" w:right="1083" w:bottom="1213" w:left="1083" w:header="851" w:footer="992" w:gutter="0"/>
      <w:cols w:space="720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5265" w:y="64"/>
      <w:jc w:val="center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  <w:r>
      <w:rPr>
        <w:rFonts w:hint="eastAsia"/>
        <w:lang w:eastAsia="zh-CN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4D1B5DE4"/>
    <w:rsid w:val="4D1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uiPriority w:val="0"/>
    <w:pPr>
      <w:snapToGrid w:val="0"/>
    </w:pPr>
    <w:rPr>
      <w:rFonts w:ascii="Arial" w:hAnsi="Arial" w:cs="Arial"/>
    </w:r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uiPriority w:val="0"/>
  </w:style>
  <w:style w:type="character" w:customStyle="1" w:styleId="14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71"/>
    <w:basedOn w:val="12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2023-08-08T08:28:00Z</dcterms:created>
  <dc:creator>千里草1403852088</dc:creator>
  <cp:lastModifiedBy>千里草1403852088</cp:lastModifiedBy>
  <dcterms:modified xsi:type="dcterms:W3CDTF">2023-08-08T08:28:29Z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F6C4C778F79F45B8A9B7273FEBFE5126_11</vt:lpwstr>
  </property>
</Properties>
</file>